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48 vom 22. April 1994</w:t>
      </w:r>
    </w:p>
    <w:p>
      <w:r>
        <w:t>Bundesgericht (BGE), 1994-04-22, DE</w:t>
      </w:r>
    </w:p>
    <w:p>
      <w:r>
        <w:rPr>
          <w:b/>
        </w:rPr>
        <w:t xml:space="preserve">Quelle: </w:t>
      </w:r>
      <w:r>
        <w:t>https://mcp.opencaselaw.ch/entscheid/bge_120 IB 48</w:t>
      </w:r>
    </w:p>
    <w:p>
      <w:r>
        <w:t>FR: BGE 120 IB 48 du 22 avril 1994</w:t>
      </w:r>
    </w:p>
    <w:p>
      <w:r>
        <w:t>IT: BGE 120 IB 48 del 22 aprile 1994</w:t>
      </w:r>
    </w:p>
    <w:p>
      <w:pPr>
        <w:pStyle w:val="Heading2"/>
      </w:pPr>
      <w:r>
        <w:t>Regeste</w:t>
      </w:r>
    </w:p>
    <w:p>
      <w:r>
        <w:t>Regeste Art. 16, 24 und 33 RPG; Vorentscheid für ein ausschreibungspflichtiges Bauvorhaben ausserhalb der Bauzone. Ein Vorentscheid über die grundsätzliche Bewilligungsfähigkeit einer landwirtschaftlichen Siedlung in der Landwirtschaftszone, der ohne Ausschreibung ergangen ist, verletzt Art. 33 Abs. 3 lit. a RPG (E. 2).</w:t>
      </w:r>
    </w:p>
    <w:p>
      <w:pPr>
        <w:pStyle w:val="Heading2"/>
      </w:pPr>
      <w:r>
        <w:t>Erwägungen</w:t>
      </w:r>
    </w:p>
    <w:p>
      <w:r>
        <w:rPr>
          <w:b/>
        </w:rPr>
        <w:t>E. 1</w:t>
      </w:r>
    </w:p>
    <w:p>
      <w:r>
        <w:t>Im angefochtenen Entscheid wird festgestellt, dass X. grundsätzlich auf der Parzelle "Antlagen" in Wilchingen ausserhalb der Bauzone eine landwirtschaftliche Siedlung mit Wohn- und Ökonomiegebäuden erstellen dürfe. a) Nach Art. 34 Abs. 1 RPG kann gegen Entscheide letzter kantonaler Instanzen über Bewilligungen im Sinne von Art. 24 RPG die Verwaltungsgerichtsbeschwerde an das Bundesgericht ergriffen werden. Mit diesem Rechtsmittel anfechtbar sind dabei nicht nur letztinstanzliche kantonale Entscheide, mit denen eine Bewilligung nach Art. 24 RPG erteilt wird, sondern auch Entscheide, mit denen eine solche Bewilligung verweigert wird. Weiter unterliegen der Verwaltungsgerichtsbeschwerde auch jene Entscheide über Bauten und Anlagen, die einer Ausnahmebewilligung bedürften und bei deren Beurteilung Art. 24 RPG zu Unrecht nicht angewendet wurde ( BGE 118 Ib 381 E. 2b/cc S. 392; BGE 118 Ib 335 E. 1a S. 337 f.; BGE 115 Ib 400 E. 2 S. 402; BGE 114 Ib 131 E. 2 S. 132 f.). Das Obergericht hat vorliegend einen Vorentscheid über die grundsätzliche Bewilligungsfähigkeit der vorgesehenen landwirtschaftlichen Siedlung auf Parzelle "Antlagen" gestützt auf Art. 16 und 22 RPG getroffen. Das Bundesamt für Raumplanung macht in seiner Beschwerde geltend, das Obergericht habe dem Begriff der Zonenkonformität nach Art. 16 RPG eine zu weit gehende Bedeutung beigemessen und zu Unrecht Art. 24 RPG nicht angewendet. Nach der angeführten Rechtsprechung kann diese Rüge mit Verwaltungsgerichtsbeschwerde erhoben werden. b) Der Vorentscheid des Obergerichts über die grundsätzliche Bewilligungsfähigkeit der geplanten landwirtschaftlichen Siedlung ist ein kantonal letztinstanzlicher feststellender Teilentscheid, der mit Verwaltungsgerichtsbeschwerde angefochten werden kann (vgl. BGE 107 Ib 341 E. 1 S. 343). c) Das Bundesamt für Raumplanung ist nach Art. 103 lit. b OG in Verbindung mit Art. 27 Abs. 3 der Verordnung über die Raumplanung vom 2. Oktober 1989 (RPV; SR 700.1) befugt, gestützt auf Art. 34 Abs. 1 RPG BGE 120 Ib 48 S. 51 Verwaltungsgerichtsbeschwerde beim Bundesgericht zu erheben (vgl. auch BGE 118 Ib 335 E. 1b S. 338). d) Die übrigen Sachurteilsvoraussetzungen sind ebenfalls erfüllt. Auf die Verwaltungsgerichtsbeschwerde ist somit einzutreten.</w:t>
      </w:r>
    </w:p>
    <w:p>
      <w:r>
        <w:rPr>
          <w:b/>
        </w:rPr>
        <w:t>E. 2</w:t>
      </w:r>
    </w:p>
    <w:p>
      <w:r>
        <w:t>Die vom Obergericht getroffene Feststellung, es könne auf der Parzelle "Antlagen" grundsätzlich eine landwirtschaftliche Siedlung gebaut werden, stellt eine auf das eidgenössische Raumplanungsgesetz gestützte Verfügung dar. a) Nach Art. 33 Abs. 2 RPG muss das kantonale Recht mindestens ein Rechtsmittel gegen Verfügungen und Nutzungspläne, welche sich auf das Raumplanungsgesetz und seine kantonalen und eidgenössischen Ausführungsbestimmungen stützen, vorsehen. Dabei muss die Legitimation mindestens im gleichen Umfang wie für die Verwaltungsgerichtsbeschwerde an das Bundesgericht und die volle Überprüfungsbefugnis durch eine Beschwerdebehörde gewährleistet sein ( Art. 33 Abs. 3 RPG ; vgl. BGE 118 Ib 26 E. 4b S. 29 ff.). Gemäss Art. 103 lit. a OG ist zur Erhebung einer Verwaltungsgerichtsbeschwerde befugt, wer durch die angefochtene Verfügung berührt ist und ein schutzwürdiges Interesse an deren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Ihnen kommen deshalb dann eine ganz besondere Bedeutung zu, wenn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BGE 120 Ib 48 S. 52 Nachteils, den der angefochtene Entscheid für ihn zur Folge hätte ( BGE 119 Ib 179 E. 1c S. 183 f.; 118 Ib 614 E. 1b S. 615 f.; 116 Ib 321 E. 2a S. 323 f.). Neben dieser allgemeinen Regelung sind gestützt auf Art. 103 lit. c OG in Verbindung mit Art. 2 und 12 des Bundesgesetzes über den Natur- und Heimatschutz vom 1. Juli 1966 (NHG; SR 451) auch die gesamtschweizerischen ideellen Vereinigungen des Natur- und Heimatschutzes legitimiert, mit Verwaltungsgerichtsbeschwerde eine Verletzung von Art. 24 RPG geltend zu machen ( BGE 119 Ib 222 E. 1b und c S. 224; BGE 118 Ib 301 E. 1b S. 303 f.; BGE 117 Ib 270 E. 1a S. 274). b) Art. 33 Abs. 3 lit. a RPG verlangt, dass das Beschwerderecht Dritter (Nachbarn, Mieter, Pächter, Umweltschutzorganisationen) gegenüber den in Anwendung des eidgenössischen Raumplanungsgesetzes erteilten Baubewilligungen tatsächlich gewährleistet ist. Voraussetzung dafür ist, dass die Beschwerdeberechtigten über ein Bauvorhaben, für welches um Bewilligung nachgesucht wird, in Kenntnis gesetzt werden. Dies geschieht im Kanton Schaffhausen wie in anderen Kantonen in der Regel durch Ausschreibung des Bauvorhabens in einem amtlichen Publikationsorgan und durch öffentliche Auflage der Pläne (Art. 65 Abs. 3 des Baugesetzes vom 9. November 1964 [BauG]). Vorbehalten bleiben besondere Verfahren für Bauvorhaben von untergeordneter Bedeutung (Art. 65 Abs. 4 BauG). Wird ein Vorentscheid für ein ausschreibungspflichtiges Bauvorhaben ohne die erforderliche Ausschreibung getroffen, ist der nach Art. 33 Abs. 3 lit. a RPG vorgeschriebene Rechtsschutz nicht gewährleistet. Diese Bestimmung verlangt, dass neben dem Baugesuchsteller auch legitimierte Dritte von ihren Verfahrensrechten Gebrauch machen können. Die Erteilung eines verbindlichen Vorentscheids setzt nicht anders als diejenige einer Baubewilligung voraus, dass die Bewilligungsbehörde die allfälligen Einwendungen der beschwerdeberechtigten Dritten kennt. Das gilt ganz besonders bei der Erteilung von Ausnahmebewilligungen nach Art. 24 RPG , welche eine umfassende Interessenabwägung erfordern, welche ohne Kenntnis der Interessen betroffener Dritter bzw. der von den Umweltorganisationen geltend gemachten öffentlichen Umweltanliegen nicht sachgerecht vorgenommen werden kann. Ein baurechtlicher Vorentscheid ohne die vorgeschriebene Ausschreibung widerspricht Art. 33 Abs. 3 lit. a RPG (Urteil des Bundesgerichts vom 9. September 1992 in ZBl 95/1994 69 f. E. 2b; nicht veröffentlichte Urteile des Bundesgerichts vom 29. Juli 1992 i.S. BGE 120 Ib 48 S. 53 S. c. Gemeinde Schenkon, E. 2c, vom 18. Juli 1990 i.S. BRP c. Korporation Galgenen, E. 2, sowie vom 20. Juni 1990 i.S. BRP c. S., E. 2a). c) Im vorliegenden Fall ist unbestritten, dass keine Ausschreibung des vom Obergericht beurteilten Vorentscheidgesuchs stattgefunden hat. Der angefochtene Entscheid verletzt daher Art. 33 Abs. 3 lit. a OG , weshalb er in Gutheissung der Verwaltungsgerichtsbeschwerde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